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E8C" w:rsidRPr="007E37DB" w:rsidRDefault="00364DCA">
      <w:pPr>
        <w:spacing w:line="300" w:lineRule="auto"/>
        <w:jc w:val="center"/>
        <w:rPr>
          <w:rFonts w:ascii="方正小标宋简体" w:eastAsia="方正小标宋简体" w:hAnsi="仿宋" w:cstheme="minorEastAsia"/>
          <w:bCs/>
          <w:sz w:val="44"/>
          <w:szCs w:val="44"/>
        </w:rPr>
      </w:pPr>
      <w:bookmarkStart w:id="0" w:name="_GoBack"/>
      <w:bookmarkEnd w:id="0"/>
      <w:r w:rsidRPr="007E37DB">
        <w:rPr>
          <w:rFonts w:ascii="方正小标宋简体" w:eastAsia="方正小标宋简体" w:hAnsi="仿宋" w:cstheme="minorEastAsia" w:hint="eastAsia"/>
          <w:bCs/>
          <w:sz w:val="44"/>
          <w:szCs w:val="44"/>
        </w:rPr>
        <w:t>文学院关于做好疫情防控期间</w:t>
      </w:r>
    </w:p>
    <w:p w:rsidR="00865E8C" w:rsidRPr="007E37DB" w:rsidRDefault="00364DCA">
      <w:pPr>
        <w:widowControl/>
        <w:jc w:val="center"/>
        <w:rPr>
          <w:rFonts w:ascii="方正小标宋简体" w:eastAsia="方正小标宋简体" w:hAnsi="仿宋"/>
          <w:color w:val="000000"/>
          <w:kern w:val="0"/>
          <w:sz w:val="44"/>
          <w:szCs w:val="44"/>
        </w:rPr>
      </w:pPr>
      <w:r w:rsidRPr="007E37DB">
        <w:rPr>
          <w:rFonts w:ascii="方正小标宋简体" w:eastAsia="方正小标宋简体" w:hAnsi="仿宋" w:hint="eastAsia"/>
          <w:color w:val="000000"/>
          <w:kern w:val="0"/>
          <w:sz w:val="44"/>
          <w:szCs w:val="44"/>
        </w:rPr>
        <w:t>研究生工作的安排</w:t>
      </w:r>
    </w:p>
    <w:p w:rsidR="00865E8C" w:rsidRPr="008F411F" w:rsidRDefault="00865E8C">
      <w:pPr>
        <w:widowControl/>
        <w:jc w:val="center"/>
        <w:rPr>
          <w:rFonts w:ascii="仿宋" w:eastAsia="仿宋" w:hAnsi="仿宋"/>
          <w:b/>
          <w:color w:val="000000"/>
          <w:kern w:val="0"/>
          <w:sz w:val="44"/>
          <w:szCs w:val="44"/>
        </w:rPr>
      </w:pPr>
    </w:p>
    <w:p w:rsidR="00865E8C" w:rsidRPr="007E37DB" w:rsidRDefault="00364DCA" w:rsidP="007E37DB">
      <w:pPr>
        <w:widowControl/>
        <w:numPr>
          <w:ilvl w:val="0"/>
          <w:numId w:val="1"/>
        </w:numPr>
        <w:ind w:firstLineChars="200" w:firstLine="640"/>
        <w:jc w:val="left"/>
        <w:rPr>
          <w:rFonts w:ascii="仿宋" w:eastAsia="仿宋" w:hAnsi="仿宋" w:cs="仿宋"/>
          <w:color w:val="000000"/>
          <w:kern w:val="0"/>
          <w:sz w:val="32"/>
          <w:szCs w:val="32"/>
        </w:rPr>
      </w:pPr>
      <w:r w:rsidRPr="007E37DB">
        <w:rPr>
          <w:rFonts w:ascii="仿宋" w:eastAsia="仿宋" w:hAnsi="仿宋" w:cs="仿宋" w:hint="eastAsia"/>
          <w:color w:val="000000"/>
          <w:sz w:val="32"/>
          <w:szCs w:val="32"/>
        </w:rPr>
        <w:t>坚持并落实导师责任制。请全体</w:t>
      </w:r>
      <w:r w:rsidRPr="007E37DB">
        <w:rPr>
          <w:rFonts w:ascii="仿宋" w:eastAsia="仿宋" w:hAnsi="仿宋" w:cs="仿宋" w:hint="eastAsia"/>
          <w:color w:val="000000"/>
          <w:kern w:val="0"/>
          <w:sz w:val="32"/>
          <w:szCs w:val="32"/>
        </w:rPr>
        <w:t>导师通过</w:t>
      </w:r>
      <w:r w:rsidRPr="007E37DB">
        <w:rPr>
          <w:rFonts w:ascii="仿宋" w:eastAsia="仿宋" w:hAnsi="仿宋" w:cs="仿宋" w:hint="eastAsia"/>
          <w:color w:val="000000"/>
          <w:sz w:val="32"/>
          <w:szCs w:val="32"/>
        </w:rPr>
        <w:t>电话、微信、QQ等手段</w:t>
      </w:r>
      <w:r w:rsidRPr="007E37DB">
        <w:rPr>
          <w:rFonts w:ascii="仿宋" w:eastAsia="仿宋" w:hAnsi="仿宋" w:cs="仿宋" w:hint="eastAsia"/>
          <w:color w:val="000000"/>
          <w:kern w:val="0"/>
          <w:sz w:val="32"/>
          <w:szCs w:val="32"/>
        </w:rPr>
        <w:t>实时了解研究生的健康、学习、生活、安全、心理等具体状态，督促和指导学生在家读书和学习，要求学生不得违反疫情防控时期相关规定，不得借故提前返校，争取学生理解配合。</w:t>
      </w:r>
    </w:p>
    <w:p w:rsidR="00865E8C" w:rsidRPr="007E37DB" w:rsidRDefault="00364DCA" w:rsidP="007E37DB">
      <w:pPr>
        <w:widowControl/>
        <w:ind w:firstLineChars="200" w:firstLine="640"/>
        <w:jc w:val="left"/>
        <w:rPr>
          <w:rFonts w:ascii="仿宋" w:eastAsia="仿宋" w:hAnsi="仿宋" w:cs="仿宋"/>
          <w:color w:val="000000"/>
          <w:kern w:val="0"/>
          <w:sz w:val="32"/>
          <w:szCs w:val="32"/>
        </w:rPr>
      </w:pPr>
      <w:r w:rsidRPr="007E37DB">
        <w:rPr>
          <w:rFonts w:ascii="仿宋" w:eastAsia="仿宋" w:hAnsi="仿宋" w:cs="仿宋" w:hint="eastAsia"/>
          <w:color w:val="000000"/>
          <w:kern w:val="0"/>
          <w:sz w:val="32"/>
          <w:szCs w:val="32"/>
        </w:rPr>
        <w:t>本项工作由各位研究生导师具体负责。</w:t>
      </w:r>
    </w:p>
    <w:p w:rsidR="00865E8C" w:rsidRPr="007E37DB" w:rsidRDefault="00364DCA" w:rsidP="007E37DB">
      <w:pPr>
        <w:pStyle w:val="a3"/>
        <w:widowControl/>
        <w:numPr>
          <w:ilvl w:val="0"/>
          <w:numId w:val="1"/>
        </w:numPr>
        <w:spacing w:beforeAutospacing="0" w:afterAutospacing="0" w:line="360" w:lineRule="atLeast"/>
        <w:ind w:firstLineChars="200" w:firstLine="640"/>
        <w:rPr>
          <w:rFonts w:ascii="仿宋" w:eastAsia="仿宋" w:hAnsi="仿宋" w:cs="仿宋"/>
          <w:color w:val="000000"/>
          <w:sz w:val="32"/>
          <w:szCs w:val="32"/>
        </w:rPr>
      </w:pPr>
      <w:r w:rsidRPr="007E37DB">
        <w:rPr>
          <w:rFonts w:ascii="仿宋" w:eastAsia="仿宋" w:hAnsi="仿宋" w:cs="仿宋" w:hint="eastAsia"/>
          <w:color w:val="000000"/>
          <w:sz w:val="32"/>
          <w:szCs w:val="32"/>
        </w:rPr>
        <w:t>春季学期的开课老师可以利用网络提前布置阅读书目、思考题、讨论题等，指导学生自学。并依托雨课堂、学堂</w:t>
      </w:r>
      <w:proofErr w:type="gramStart"/>
      <w:r w:rsidRPr="007E37DB">
        <w:rPr>
          <w:rFonts w:ascii="仿宋" w:eastAsia="仿宋" w:hAnsi="仿宋" w:cs="仿宋" w:hint="eastAsia"/>
          <w:color w:val="000000"/>
          <w:sz w:val="32"/>
          <w:szCs w:val="32"/>
        </w:rPr>
        <w:t>在线云</w:t>
      </w:r>
      <w:proofErr w:type="gramEnd"/>
      <w:r w:rsidRPr="007E37DB">
        <w:rPr>
          <w:rFonts w:ascii="仿宋" w:eastAsia="仿宋" w:hAnsi="仿宋" w:cs="仿宋" w:hint="eastAsia"/>
          <w:color w:val="000000"/>
          <w:sz w:val="32"/>
          <w:szCs w:val="32"/>
        </w:rPr>
        <w:t>平台等教学工具在延迟开学期间开展在线教学、讨论、辅导和答疑。</w:t>
      </w:r>
    </w:p>
    <w:p w:rsidR="00865E8C" w:rsidRPr="007E37DB" w:rsidRDefault="00364DCA">
      <w:pPr>
        <w:pStyle w:val="a3"/>
        <w:widowControl/>
        <w:spacing w:beforeAutospacing="0" w:afterAutospacing="0" w:line="360" w:lineRule="atLeast"/>
        <w:ind w:leftChars="200" w:left="420"/>
        <w:rPr>
          <w:rFonts w:ascii="仿宋" w:eastAsia="仿宋" w:hAnsi="仿宋" w:cs="仿宋"/>
          <w:color w:val="000000"/>
          <w:sz w:val="32"/>
          <w:szCs w:val="32"/>
        </w:rPr>
      </w:pPr>
      <w:r w:rsidRPr="007E37DB">
        <w:rPr>
          <w:rFonts w:ascii="仿宋" w:eastAsia="仿宋" w:hAnsi="仿宋" w:cs="仿宋" w:hint="eastAsia"/>
          <w:color w:val="000000"/>
          <w:sz w:val="32"/>
          <w:szCs w:val="32"/>
        </w:rPr>
        <w:t xml:space="preserve"> 本项工作将在2月23日前落实，由许琰、崔国清负责。</w:t>
      </w:r>
    </w:p>
    <w:p w:rsidR="00865E8C" w:rsidRPr="007E37DB" w:rsidRDefault="00364DCA" w:rsidP="007E37DB">
      <w:pPr>
        <w:pStyle w:val="a3"/>
        <w:widowControl/>
        <w:numPr>
          <w:ilvl w:val="0"/>
          <w:numId w:val="1"/>
        </w:numPr>
        <w:spacing w:beforeAutospacing="0" w:afterAutospacing="0" w:line="360" w:lineRule="atLeast"/>
        <w:ind w:firstLineChars="200" w:firstLine="640"/>
        <w:rPr>
          <w:rFonts w:ascii="仿宋" w:eastAsia="仿宋" w:hAnsi="仿宋" w:cs="仿宋"/>
          <w:color w:val="000000"/>
          <w:sz w:val="32"/>
          <w:szCs w:val="32"/>
        </w:rPr>
      </w:pPr>
      <w:r w:rsidRPr="007E37DB">
        <w:rPr>
          <w:rFonts w:ascii="仿宋" w:eastAsia="仿宋" w:hAnsi="仿宋" w:cs="仿宋" w:hint="eastAsia"/>
          <w:color w:val="000000"/>
          <w:sz w:val="32"/>
          <w:szCs w:val="32"/>
        </w:rPr>
        <w:t>各专业负责人统筹安排导师组和导师在网上督促和指导三年级研究生做好学位论文的撰写与修改工作，为盲审、预答辩和答辩工作做好准备；督促和指导二年级研究生做好学位论文选题、开题报告的撰写和修改等工作，为开题和中期考核工作做好准备。</w:t>
      </w:r>
    </w:p>
    <w:p w:rsidR="00865E8C" w:rsidRPr="007E37DB" w:rsidRDefault="00364DCA">
      <w:pPr>
        <w:pStyle w:val="a3"/>
        <w:widowControl/>
        <w:spacing w:beforeAutospacing="0" w:afterAutospacing="0" w:line="360" w:lineRule="atLeast"/>
        <w:ind w:leftChars="200" w:left="420"/>
        <w:rPr>
          <w:rFonts w:ascii="仿宋" w:eastAsia="仿宋" w:hAnsi="仿宋" w:cs="仿宋"/>
          <w:color w:val="000000"/>
          <w:sz w:val="32"/>
          <w:szCs w:val="32"/>
        </w:rPr>
      </w:pPr>
      <w:r w:rsidRPr="007E37DB">
        <w:rPr>
          <w:rFonts w:ascii="仿宋" w:eastAsia="仿宋" w:hAnsi="仿宋" w:cs="仿宋" w:hint="eastAsia"/>
          <w:color w:val="000000"/>
          <w:sz w:val="32"/>
          <w:szCs w:val="32"/>
        </w:rPr>
        <w:t xml:space="preserve"> 本项工作由各导师组负责人负责。</w:t>
      </w:r>
    </w:p>
    <w:p w:rsidR="00865E8C" w:rsidRPr="007E37DB" w:rsidRDefault="00364DCA" w:rsidP="007E37DB">
      <w:pPr>
        <w:pStyle w:val="a3"/>
        <w:widowControl/>
        <w:spacing w:beforeAutospacing="0" w:afterAutospacing="0" w:line="360" w:lineRule="atLeast"/>
        <w:ind w:firstLineChars="200" w:firstLine="640"/>
        <w:rPr>
          <w:rFonts w:ascii="仿宋" w:eastAsia="仿宋" w:hAnsi="仿宋" w:cs="仿宋"/>
          <w:color w:val="000000"/>
          <w:sz w:val="32"/>
          <w:szCs w:val="32"/>
        </w:rPr>
      </w:pPr>
      <w:r w:rsidRPr="007E37DB">
        <w:rPr>
          <w:rFonts w:ascii="仿宋" w:eastAsia="仿宋" w:hAnsi="仿宋" w:cs="仿宋" w:hint="eastAsia"/>
          <w:color w:val="000000"/>
          <w:sz w:val="32"/>
          <w:szCs w:val="32"/>
        </w:rPr>
        <w:t>导师组和负责人具体见下表：</w:t>
      </w:r>
    </w:p>
    <w:tbl>
      <w:tblPr>
        <w:tblStyle w:val="a4"/>
        <w:tblW w:w="8522" w:type="dxa"/>
        <w:tblLayout w:type="fixed"/>
        <w:tblLook w:val="04A0" w:firstRow="1" w:lastRow="0" w:firstColumn="1" w:lastColumn="0" w:noHBand="0" w:noVBand="1"/>
      </w:tblPr>
      <w:tblGrid>
        <w:gridCol w:w="1085"/>
        <w:gridCol w:w="3057"/>
        <w:gridCol w:w="1170"/>
        <w:gridCol w:w="3210"/>
      </w:tblGrid>
      <w:tr w:rsidR="00865E8C">
        <w:tc>
          <w:tcPr>
            <w:tcW w:w="1085" w:type="dxa"/>
          </w:tcPr>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类别</w:t>
            </w:r>
          </w:p>
        </w:tc>
        <w:tc>
          <w:tcPr>
            <w:tcW w:w="3057" w:type="dxa"/>
          </w:tcPr>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导师组名称</w:t>
            </w:r>
          </w:p>
        </w:tc>
        <w:tc>
          <w:tcPr>
            <w:tcW w:w="1170" w:type="dxa"/>
          </w:tcPr>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负责人</w:t>
            </w:r>
          </w:p>
        </w:tc>
        <w:tc>
          <w:tcPr>
            <w:tcW w:w="3210" w:type="dxa"/>
          </w:tcPr>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成员</w:t>
            </w:r>
          </w:p>
        </w:tc>
      </w:tr>
      <w:tr w:rsidR="00865E8C" w:rsidTr="00265201">
        <w:tc>
          <w:tcPr>
            <w:tcW w:w="1085" w:type="dxa"/>
            <w:vMerge w:val="restart"/>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博</w:t>
            </w:r>
          </w:p>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士</w:t>
            </w:r>
          </w:p>
        </w:tc>
        <w:tc>
          <w:tcPr>
            <w:tcW w:w="3057"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一组</w:t>
            </w:r>
          </w:p>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（中国古代文学与中国古典文献学）</w:t>
            </w:r>
          </w:p>
        </w:tc>
        <w:tc>
          <w:tcPr>
            <w:tcW w:w="1170"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董芬芬</w:t>
            </w:r>
          </w:p>
        </w:tc>
        <w:tc>
          <w:tcPr>
            <w:tcW w:w="3210"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赵逵夫、马世年、韩高年、张兵、丁宏武、杜志强</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二组</w:t>
            </w:r>
          </w:p>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（中国现当代文学与文艺学）</w:t>
            </w:r>
          </w:p>
        </w:tc>
        <w:tc>
          <w:tcPr>
            <w:tcW w:w="1170"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郭国昌</w:t>
            </w:r>
          </w:p>
        </w:tc>
        <w:tc>
          <w:tcPr>
            <w:tcW w:w="3210"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张晓琴、韩伟</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三组</w:t>
            </w:r>
          </w:p>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（汉语言文字学）</w:t>
            </w:r>
          </w:p>
        </w:tc>
        <w:tc>
          <w:tcPr>
            <w:tcW w:w="1170"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雷黎明</w:t>
            </w:r>
          </w:p>
        </w:tc>
        <w:tc>
          <w:tcPr>
            <w:tcW w:w="3210" w:type="dxa"/>
            <w:vAlign w:val="center"/>
          </w:tcPr>
          <w:p w:rsidR="00865E8C" w:rsidRDefault="00364DCA" w:rsidP="00265201">
            <w:pPr>
              <w:pStyle w:val="a3"/>
              <w:widowControl/>
              <w:spacing w:beforeAutospacing="0" w:afterAutospacing="0"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武和平、莫超</w:t>
            </w:r>
          </w:p>
        </w:tc>
      </w:tr>
      <w:tr w:rsidR="00865E8C" w:rsidTr="00265201">
        <w:tc>
          <w:tcPr>
            <w:tcW w:w="1085" w:type="dxa"/>
            <w:vMerge w:val="restart"/>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proofErr w:type="gramStart"/>
            <w:r>
              <w:rPr>
                <w:rFonts w:ascii="仿宋" w:eastAsia="仿宋" w:hAnsi="仿宋" w:cs="仿宋" w:hint="eastAsia"/>
                <w:color w:val="000000"/>
                <w:sz w:val="28"/>
                <w:szCs w:val="28"/>
              </w:rPr>
              <w:t>硕</w:t>
            </w:r>
            <w:proofErr w:type="gramEnd"/>
          </w:p>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p w:rsidR="00865E8C" w:rsidRDefault="00364DCA">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士</w:t>
            </w: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先秦两汉文学组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王</w:t>
            </w:r>
            <w:proofErr w:type="gramStart"/>
            <w:r>
              <w:rPr>
                <w:rFonts w:ascii="仿宋" w:eastAsia="仿宋" w:hAnsi="仿宋" w:cs="仿宋" w:hint="eastAsia"/>
                <w:color w:val="000000"/>
                <w:sz w:val="28"/>
                <w:szCs w:val="28"/>
              </w:rPr>
              <w:t>浩</w:t>
            </w:r>
            <w:proofErr w:type="gramEnd"/>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马世年、韩高年、董芬芬</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魏晋南北朝文学组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丁宏武</w:t>
            </w:r>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赵茂林</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唐宋文学组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proofErr w:type="gramStart"/>
            <w:r>
              <w:rPr>
                <w:rFonts w:ascii="仿宋" w:eastAsia="仿宋" w:hAnsi="仿宋" w:cs="仿宋" w:hint="eastAsia"/>
                <w:color w:val="000000"/>
                <w:sz w:val="28"/>
                <w:szCs w:val="28"/>
              </w:rPr>
              <w:t>单芳</w:t>
            </w:r>
            <w:proofErr w:type="gramEnd"/>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李天保、汪聚应</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元明清文学组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冉耀斌</w:t>
            </w:r>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张兵、张毓洲、侯冬</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中国古典文献学组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proofErr w:type="gramStart"/>
            <w:r>
              <w:rPr>
                <w:rFonts w:ascii="仿宋" w:eastAsia="仿宋" w:hAnsi="仿宋" w:cs="仿宋" w:hint="eastAsia"/>
                <w:color w:val="000000"/>
                <w:sz w:val="28"/>
                <w:szCs w:val="28"/>
              </w:rPr>
              <w:t>漆子扬</w:t>
            </w:r>
            <w:proofErr w:type="gramEnd"/>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杜志强、许琰、王兴芬、景浩</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中国现当代文学组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孙强</w:t>
            </w:r>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郭国昌、张晓琴、李生滨、王贵生、元旦、李晓禺、李明德、冯玉雷、王明丽</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汉语言文字学组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雷黎明</w:t>
            </w:r>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周玉秀、洪帅、司晓莲</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语言学及应用语言学组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proofErr w:type="gramStart"/>
            <w:r>
              <w:rPr>
                <w:rFonts w:ascii="仿宋" w:eastAsia="仿宋" w:hAnsi="仿宋" w:cs="仿宋" w:hint="eastAsia"/>
                <w:color w:val="000000"/>
                <w:sz w:val="28"/>
                <w:szCs w:val="28"/>
              </w:rPr>
              <w:t>雒</w:t>
            </w:r>
            <w:proofErr w:type="gramEnd"/>
            <w:r>
              <w:rPr>
                <w:rFonts w:ascii="仿宋" w:eastAsia="仿宋" w:hAnsi="仿宋" w:cs="仿宋" w:hint="eastAsia"/>
                <w:color w:val="000000"/>
                <w:sz w:val="28"/>
                <w:szCs w:val="28"/>
              </w:rPr>
              <w:t>鹏</w:t>
            </w:r>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黄海英</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文艺学组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罗立桂</w:t>
            </w:r>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韩伟、黄怀璞、朱斌</w:t>
            </w:r>
          </w:p>
        </w:tc>
      </w:tr>
      <w:tr w:rsidR="00865E8C" w:rsidTr="00265201">
        <w:tc>
          <w:tcPr>
            <w:tcW w:w="1085" w:type="dxa"/>
            <w:vMerge/>
          </w:tcPr>
          <w:p w:rsidR="00865E8C" w:rsidRDefault="00865E8C">
            <w:pPr>
              <w:pStyle w:val="a3"/>
              <w:widowControl/>
              <w:spacing w:beforeAutospacing="0" w:afterAutospacing="0" w:line="580" w:lineRule="exact"/>
              <w:jc w:val="center"/>
              <w:rPr>
                <w:rFonts w:ascii="仿宋" w:eastAsia="仿宋" w:hAnsi="仿宋" w:cs="仿宋"/>
                <w:color w:val="000000"/>
                <w:sz w:val="28"/>
                <w:szCs w:val="28"/>
              </w:rPr>
            </w:pPr>
          </w:p>
        </w:tc>
        <w:tc>
          <w:tcPr>
            <w:tcW w:w="3057"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比较文学与世界文学组</w:t>
            </w:r>
          </w:p>
        </w:tc>
        <w:tc>
          <w:tcPr>
            <w:tcW w:w="117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proofErr w:type="gramStart"/>
            <w:r>
              <w:rPr>
                <w:rFonts w:ascii="仿宋" w:eastAsia="仿宋" w:hAnsi="仿宋" w:cs="仿宋" w:hint="eastAsia"/>
                <w:color w:val="000000"/>
                <w:sz w:val="28"/>
                <w:szCs w:val="28"/>
              </w:rPr>
              <w:t>康孝云</w:t>
            </w:r>
            <w:proofErr w:type="gramEnd"/>
          </w:p>
        </w:tc>
        <w:tc>
          <w:tcPr>
            <w:tcW w:w="3210" w:type="dxa"/>
            <w:vAlign w:val="center"/>
          </w:tcPr>
          <w:p w:rsidR="00865E8C" w:rsidRDefault="00364DCA" w:rsidP="00265201">
            <w:pPr>
              <w:pStyle w:val="a3"/>
              <w:widowControl/>
              <w:spacing w:beforeAutospacing="0" w:afterAutospacing="0" w:line="58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张艳萍、马粉英、周小娟</w:t>
            </w:r>
          </w:p>
        </w:tc>
      </w:tr>
    </w:tbl>
    <w:p w:rsidR="007E37DB" w:rsidRDefault="008F411F" w:rsidP="007E37DB">
      <w:pPr>
        <w:pStyle w:val="a3"/>
        <w:widowControl/>
        <w:spacing w:beforeAutospacing="0" w:afterAutospacing="0"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8F411F" w:rsidRPr="007E37DB" w:rsidRDefault="007E37DB" w:rsidP="007E37DB">
      <w:pPr>
        <w:pStyle w:val="a3"/>
        <w:widowControl/>
        <w:spacing w:beforeAutospacing="0" w:afterAutospacing="0" w:line="400" w:lineRule="exact"/>
        <w:jc w:val="center"/>
        <w:rPr>
          <w:rFonts w:ascii="仿宋" w:eastAsia="仿宋" w:hAnsi="仿宋" w:cs="仿宋"/>
          <w:color w:val="000000"/>
          <w:sz w:val="32"/>
          <w:szCs w:val="32"/>
        </w:rPr>
      </w:pPr>
      <w:r>
        <w:rPr>
          <w:rFonts w:ascii="仿宋" w:eastAsia="仿宋" w:hAnsi="仿宋" w:cs="仿宋" w:hint="eastAsia"/>
          <w:color w:val="000000"/>
          <w:sz w:val="28"/>
          <w:szCs w:val="28"/>
        </w:rPr>
        <w:t xml:space="preserve">                                      </w:t>
      </w:r>
      <w:r w:rsidR="008F411F" w:rsidRPr="007E37DB">
        <w:rPr>
          <w:rFonts w:ascii="仿宋" w:eastAsia="仿宋" w:hAnsi="仿宋" w:cs="仿宋" w:hint="eastAsia"/>
          <w:color w:val="000000"/>
          <w:sz w:val="32"/>
          <w:szCs w:val="32"/>
        </w:rPr>
        <w:t xml:space="preserve"> </w:t>
      </w:r>
      <w:r w:rsidR="008F411F" w:rsidRPr="007E37DB">
        <w:rPr>
          <w:rFonts w:ascii="仿宋" w:eastAsia="仿宋" w:hAnsi="仿宋" w:cs="仿宋"/>
          <w:color w:val="000000"/>
          <w:sz w:val="32"/>
          <w:szCs w:val="32"/>
        </w:rPr>
        <w:t>文学院</w:t>
      </w:r>
    </w:p>
    <w:p w:rsidR="00865E8C" w:rsidRPr="007E37DB" w:rsidRDefault="008F411F" w:rsidP="007E37DB">
      <w:pPr>
        <w:widowControl/>
        <w:spacing w:line="400" w:lineRule="exact"/>
        <w:jc w:val="center"/>
        <w:rPr>
          <w:rFonts w:ascii="仿宋" w:eastAsia="仿宋" w:hAnsi="仿宋" w:cs="仿宋"/>
          <w:color w:val="000000"/>
          <w:sz w:val="32"/>
          <w:szCs w:val="32"/>
        </w:rPr>
      </w:pPr>
      <w:r w:rsidRPr="007E37DB">
        <w:rPr>
          <w:rFonts w:ascii="仿宋" w:eastAsia="仿宋" w:hAnsi="仿宋" w:cs="仿宋" w:hint="eastAsia"/>
          <w:color w:val="000000"/>
          <w:sz w:val="32"/>
          <w:szCs w:val="32"/>
        </w:rPr>
        <w:t xml:space="preserve">                                </w:t>
      </w:r>
      <w:r w:rsidR="007E37DB" w:rsidRPr="007E37DB">
        <w:rPr>
          <w:rFonts w:ascii="仿宋" w:eastAsia="仿宋" w:hAnsi="仿宋" w:cs="仿宋" w:hint="eastAsia"/>
          <w:color w:val="000000"/>
          <w:sz w:val="32"/>
          <w:szCs w:val="32"/>
        </w:rPr>
        <w:t xml:space="preserve">  </w:t>
      </w:r>
      <w:r w:rsidRPr="007E37DB">
        <w:rPr>
          <w:rFonts w:ascii="仿宋" w:eastAsia="仿宋" w:hAnsi="仿宋" w:cs="仿宋" w:hint="eastAsia"/>
          <w:color w:val="000000"/>
          <w:sz w:val="32"/>
          <w:szCs w:val="32"/>
        </w:rPr>
        <w:t>2020年2月2日</w:t>
      </w:r>
    </w:p>
    <w:sectPr w:rsidR="00865E8C" w:rsidRPr="007E37DB" w:rsidSect="00865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3E4" w:rsidRDefault="00C263E4" w:rsidP="008F411F">
      <w:r>
        <w:separator/>
      </w:r>
    </w:p>
  </w:endnote>
  <w:endnote w:type="continuationSeparator" w:id="0">
    <w:p w:rsidR="00C263E4" w:rsidRDefault="00C263E4" w:rsidP="008F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3E4" w:rsidRDefault="00C263E4" w:rsidP="008F411F">
      <w:r>
        <w:separator/>
      </w:r>
    </w:p>
  </w:footnote>
  <w:footnote w:type="continuationSeparator" w:id="0">
    <w:p w:rsidR="00C263E4" w:rsidRDefault="00C263E4" w:rsidP="008F4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69A63"/>
    <w:multiLevelType w:val="singleLevel"/>
    <w:tmpl w:val="74669A6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5843"/>
    <w:rsid w:val="000D5CA9"/>
    <w:rsid w:val="00175FA0"/>
    <w:rsid w:val="00265201"/>
    <w:rsid w:val="00364DCA"/>
    <w:rsid w:val="004C05A9"/>
    <w:rsid w:val="0052689C"/>
    <w:rsid w:val="00530853"/>
    <w:rsid w:val="00585843"/>
    <w:rsid w:val="006B1EB8"/>
    <w:rsid w:val="007E37DB"/>
    <w:rsid w:val="0082423B"/>
    <w:rsid w:val="00865E8C"/>
    <w:rsid w:val="008F411F"/>
    <w:rsid w:val="009938E8"/>
    <w:rsid w:val="00B4575B"/>
    <w:rsid w:val="00C263E4"/>
    <w:rsid w:val="00D128BF"/>
    <w:rsid w:val="00EE68FD"/>
    <w:rsid w:val="05453DEF"/>
    <w:rsid w:val="0994052F"/>
    <w:rsid w:val="0B675E08"/>
    <w:rsid w:val="106F0274"/>
    <w:rsid w:val="124006C4"/>
    <w:rsid w:val="12F71D9E"/>
    <w:rsid w:val="194E4987"/>
    <w:rsid w:val="19A23239"/>
    <w:rsid w:val="1AB23A4B"/>
    <w:rsid w:val="1F9D7BD5"/>
    <w:rsid w:val="246E2938"/>
    <w:rsid w:val="2A37599E"/>
    <w:rsid w:val="2BC90A33"/>
    <w:rsid w:val="307009B6"/>
    <w:rsid w:val="30CB1634"/>
    <w:rsid w:val="3123041C"/>
    <w:rsid w:val="35182CE1"/>
    <w:rsid w:val="35230345"/>
    <w:rsid w:val="389A50A8"/>
    <w:rsid w:val="393D20AF"/>
    <w:rsid w:val="3A3E1136"/>
    <w:rsid w:val="3BC43B8A"/>
    <w:rsid w:val="43D6462C"/>
    <w:rsid w:val="4AA84C4C"/>
    <w:rsid w:val="4B3B6AF1"/>
    <w:rsid w:val="4CB20963"/>
    <w:rsid w:val="4DB9240C"/>
    <w:rsid w:val="50B24BD8"/>
    <w:rsid w:val="52211A78"/>
    <w:rsid w:val="525A38B0"/>
    <w:rsid w:val="557A767C"/>
    <w:rsid w:val="563A1E8D"/>
    <w:rsid w:val="57510CE4"/>
    <w:rsid w:val="5839300E"/>
    <w:rsid w:val="5D565DAD"/>
    <w:rsid w:val="604E7784"/>
    <w:rsid w:val="60A872FD"/>
    <w:rsid w:val="65452B4D"/>
    <w:rsid w:val="69946917"/>
    <w:rsid w:val="6E4C5175"/>
    <w:rsid w:val="6EB062C4"/>
    <w:rsid w:val="6EFD4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E8C"/>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65E8C"/>
    <w:pPr>
      <w:spacing w:beforeAutospacing="1" w:afterAutospacing="1"/>
      <w:jc w:val="left"/>
    </w:pPr>
    <w:rPr>
      <w:rFonts w:cs="Times New Roman"/>
      <w:kern w:val="0"/>
      <w:sz w:val="24"/>
    </w:rPr>
  </w:style>
  <w:style w:type="table" w:styleId="a4">
    <w:name w:val="Table Grid"/>
    <w:basedOn w:val="a1"/>
    <w:rsid w:val="00865E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sid w:val="00865E8C"/>
    <w:rPr>
      <w:b/>
    </w:rPr>
  </w:style>
  <w:style w:type="character" w:styleId="a6">
    <w:name w:val="Hyperlink"/>
    <w:basedOn w:val="a0"/>
    <w:qFormat/>
    <w:rsid w:val="00865E8C"/>
    <w:rPr>
      <w:color w:val="0000FF"/>
      <w:u w:val="single"/>
    </w:rPr>
  </w:style>
  <w:style w:type="character" w:customStyle="1" w:styleId="1">
    <w:name w:val="未处理的提及1"/>
    <w:basedOn w:val="a0"/>
    <w:uiPriority w:val="99"/>
    <w:qFormat/>
    <w:rsid w:val="00865E8C"/>
    <w:rPr>
      <w:color w:val="605E5C"/>
      <w:shd w:val="clear" w:color="auto" w:fill="E1DFDD"/>
    </w:rPr>
  </w:style>
  <w:style w:type="paragraph" w:styleId="a7">
    <w:name w:val="header"/>
    <w:basedOn w:val="a"/>
    <w:link w:val="Char"/>
    <w:rsid w:val="008F4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F411F"/>
    <w:rPr>
      <w:rFonts w:ascii="Calibri" w:eastAsia="宋体" w:hAnsi="Calibri" w:cs="宋体"/>
      <w:kern w:val="2"/>
      <w:sz w:val="18"/>
      <w:szCs w:val="18"/>
    </w:rPr>
  </w:style>
  <w:style w:type="paragraph" w:styleId="a8">
    <w:name w:val="footer"/>
    <w:basedOn w:val="a"/>
    <w:link w:val="Char0"/>
    <w:rsid w:val="008F411F"/>
    <w:pPr>
      <w:tabs>
        <w:tab w:val="center" w:pos="4153"/>
        <w:tab w:val="right" w:pos="8306"/>
      </w:tabs>
      <w:snapToGrid w:val="0"/>
      <w:jc w:val="left"/>
    </w:pPr>
    <w:rPr>
      <w:sz w:val="18"/>
      <w:szCs w:val="18"/>
    </w:rPr>
  </w:style>
  <w:style w:type="character" w:customStyle="1" w:styleId="Char0">
    <w:name w:val="页脚 Char"/>
    <w:basedOn w:val="a0"/>
    <w:link w:val="a8"/>
    <w:rsid w:val="008F411F"/>
    <w:rPr>
      <w:rFonts w:ascii="Calibri" w:eastAsia="宋体"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137</Words>
  <Characters>786</Characters>
  <Application>Microsoft Office Word</Application>
  <DocSecurity>0</DocSecurity>
  <Lines>6</Lines>
  <Paragraphs>1</Paragraphs>
  <ScaleCrop>false</ScaleCrop>
  <Company>jwc</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王治和</dc:creator>
  <cp:lastModifiedBy>郭维华</cp:lastModifiedBy>
  <cp:revision>18</cp:revision>
  <cp:lastPrinted>2020-02-02T10:09:00Z</cp:lastPrinted>
  <dcterms:created xsi:type="dcterms:W3CDTF">2020-02-02T08:34:00Z</dcterms:created>
  <dcterms:modified xsi:type="dcterms:W3CDTF">2020-02-02T10:09:00Z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